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A1460" w14:textId="77777777" w:rsidR="00062EE7" w:rsidRDefault="00062EE7" w:rsidP="00062EE7">
      <w:pPr>
        <w:spacing w:before="63" w:line="367" w:lineRule="exact"/>
        <w:ind w:left="1692" w:right="1714"/>
        <w:jc w:val="center"/>
        <w:rPr>
          <w:b/>
          <w:sz w:val="32"/>
        </w:rPr>
      </w:pPr>
      <w:r>
        <w:rPr>
          <w:b/>
          <w:sz w:val="32"/>
        </w:rPr>
        <w:t xml:space="preserve">MEDICAL UNIVERSITY OF </w:t>
      </w:r>
      <w:r w:rsidR="00CD3404">
        <w:rPr>
          <w:b/>
          <w:sz w:val="32"/>
        </w:rPr>
        <w:t>LUBLIN</w:t>
      </w:r>
    </w:p>
    <w:p w14:paraId="5F0C7446" w14:textId="77777777" w:rsidR="00062EE7" w:rsidRDefault="00062EE7" w:rsidP="00062EE7">
      <w:pPr>
        <w:spacing w:line="275" w:lineRule="exact"/>
        <w:ind w:left="1697" w:right="1714"/>
        <w:jc w:val="center"/>
        <w:rPr>
          <w:b/>
          <w:i/>
          <w:sz w:val="24"/>
        </w:rPr>
      </w:pPr>
      <w:r>
        <w:rPr>
          <w:b/>
          <w:i/>
          <w:sz w:val="24"/>
        </w:rPr>
        <w:t xml:space="preserve">UNIVERISTY REFUND POLICY   </w:t>
      </w:r>
    </w:p>
    <w:p w14:paraId="7BD5939E" w14:textId="77777777" w:rsidR="00062EE7" w:rsidRDefault="00062EE7" w:rsidP="00062EE7">
      <w:pPr>
        <w:pStyle w:val="BodyText"/>
        <w:spacing w:before="4"/>
        <w:rPr>
          <w:b/>
          <w:sz w:val="18"/>
        </w:rPr>
      </w:pPr>
      <w:r>
        <w:rPr>
          <w:noProof/>
        </w:rPr>
        <mc:AlternateContent>
          <mc:Choice Requires="wps">
            <w:drawing>
              <wp:anchor distT="0" distB="0" distL="0" distR="0" simplePos="0" relativeHeight="251659264" behindDoc="0" locked="0" layoutInCell="1" allowOverlap="1" wp14:anchorId="2F256CFB" wp14:editId="49D29BA5">
                <wp:simplePos x="0" y="0"/>
                <wp:positionH relativeFrom="page">
                  <wp:posOffset>914400</wp:posOffset>
                </wp:positionH>
                <wp:positionV relativeFrom="paragraph">
                  <wp:posOffset>167005</wp:posOffset>
                </wp:positionV>
                <wp:extent cx="5944870" cy="0"/>
                <wp:effectExtent l="9525" t="12065" r="8255" b="16510"/>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87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22E67725" id="Straight Connector 1"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15pt" to="540.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vXZHAIAADcEAAAOAAAAZHJzL2Uyb0RvYy54bWysU8uu2jAU3FfqP1jZQxIau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" strokeweight="1.2pt">
                <w10:wrap type="topAndBottom" anchorx="page"/>
              </v:line>
            </w:pict>
          </mc:Fallback>
        </mc:AlternateContent>
      </w:r>
    </w:p>
    <w:p w14:paraId="4B8D0DB5" w14:textId="77777777" w:rsidR="00062EE7" w:rsidRDefault="00062EE7" w:rsidP="00062EE7">
      <w:pPr>
        <w:pStyle w:val="BodyText"/>
        <w:rPr>
          <w:b/>
          <w:sz w:val="20"/>
        </w:rPr>
      </w:pPr>
    </w:p>
    <w:p w14:paraId="7D53B596" w14:textId="77777777" w:rsidR="00062EE7" w:rsidRDefault="00062EE7" w:rsidP="00062EE7">
      <w:pPr>
        <w:pStyle w:val="BodyText"/>
        <w:spacing w:before="4"/>
        <w:rPr>
          <w:b/>
          <w:sz w:val="17"/>
        </w:rPr>
      </w:pPr>
    </w:p>
    <w:p w14:paraId="0F6A3DB9" w14:textId="77777777" w:rsidR="00062EE7" w:rsidRPr="00062EE7" w:rsidRDefault="00062EE7" w:rsidP="00062EE7">
      <w:pPr>
        <w:pStyle w:val="BodyText"/>
        <w:spacing w:before="90"/>
        <w:ind w:left="100" w:right="121"/>
        <w:jc w:val="both"/>
      </w:pPr>
      <w:r>
        <w:t>University regulations provide for the refund of payments (tuition and certain fees) for instruction not taken</w:t>
      </w:r>
      <w:r w:rsidR="00651938">
        <w:t xml:space="preserve">  </w:t>
      </w:r>
      <w:r>
        <w:t xml:space="preserve"> because of a leave of absence, or resignation for health reason, or other valid and documented reason as provided in the </w:t>
      </w:r>
      <w:r w:rsidRPr="00062EE7">
        <w:t>University Regulations</w:t>
      </w:r>
      <w:r w:rsidR="00CD3404">
        <w:t>.</w:t>
      </w:r>
      <w:r w:rsidRPr="00062EE7">
        <w:t xml:space="preserve"> </w:t>
      </w:r>
    </w:p>
    <w:p w14:paraId="79CE89FE" w14:textId="77777777" w:rsidR="00062EE7" w:rsidRDefault="00062EE7" w:rsidP="00062EE7">
      <w:pPr>
        <w:pStyle w:val="BodyText"/>
        <w:spacing w:before="90"/>
        <w:ind w:left="100" w:right="121"/>
        <w:jc w:val="both"/>
      </w:pPr>
    </w:p>
    <w:p w14:paraId="0390C06D" w14:textId="77777777" w:rsidR="00062EE7" w:rsidRDefault="00062EE7" w:rsidP="00062EE7">
      <w:pPr>
        <w:pStyle w:val="BodyText"/>
        <w:spacing w:before="90"/>
        <w:ind w:left="100" w:right="121"/>
        <w:jc w:val="both"/>
      </w:pPr>
      <w:r>
        <w:t xml:space="preserve">In accordance with these policies, reimbursement of unused tuition and certain fees shall be proportional to the instruction that the student did not receive as a result of the approved interruption.  The policy calls for a pro rata refund  when a student withdraws before completion of the payment period or period of enrollment (semester). </w:t>
      </w:r>
    </w:p>
    <w:p w14:paraId="6332BF7B" w14:textId="77777777" w:rsidR="00062EE7" w:rsidRDefault="00062EE7" w:rsidP="00062EE7">
      <w:pPr>
        <w:pStyle w:val="BodyText"/>
      </w:pPr>
    </w:p>
    <w:p w14:paraId="2CE8C021" w14:textId="77777777" w:rsidR="00062EE7" w:rsidRDefault="00062EE7" w:rsidP="00062EE7">
      <w:pPr>
        <w:tabs>
          <w:tab w:val="left" w:pos="1541"/>
        </w:tabs>
        <w:spacing w:before="2"/>
        <w:ind w:right="121"/>
        <w:jc w:val="both"/>
        <w:rPr>
          <w:sz w:val="24"/>
        </w:rPr>
      </w:pPr>
      <w:r>
        <w:rPr>
          <w:sz w:val="24"/>
        </w:rPr>
        <w:t xml:space="preserve">Withdrawal: Students have the right to withdraw from their studies during the enrollment (payment) period.  The date of withdrawal is the date the student submitted a written notice of withdrawal to the Head of the Dean’s office of the English Division or the last date of attendance whichever occurs first. </w:t>
      </w:r>
    </w:p>
    <w:p w14:paraId="781F81C9" w14:textId="77777777" w:rsidR="00062EE7" w:rsidRDefault="00062EE7" w:rsidP="00062EE7">
      <w:pPr>
        <w:tabs>
          <w:tab w:val="left" w:pos="1541"/>
        </w:tabs>
        <w:spacing w:before="2"/>
        <w:ind w:right="121"/>
        <w:jc w:val="both"/>
        <w:rPr>
          <w:sz w:val="24"/>
        </w:rPr>
      </w:pPr>
    </w:p>
    <w:p w14:paraId="6BC2E704" w14:textId="77777777" w:rsidR="00062EE7" w:rsidRDefault="00062EE7" w:rsidP="00062EE7">
      <w:pPr>
        <w:tabs>
          <w:tab w:val="left" w:pos="1541"/>
        </w:tabs>
        <w:spacing w:before="2"/>
        <w:ind w:right="121"/>
        <w:jc w:val="both"/>
        <w:rPr>
          <w:sz w:val="24"/>
        </w:rPr>
      </w:pPr>
      <w:r>
        <w:rPr>
          <w:sz w:val="24"/>
        </w:rPr>
        <w:t xml:space="preserve">Good Standing:  Students maintain good standing by complying with all academic rules and regulations and remaining current in all financial obligations.  The University reserves the right to withhold services, transcripts and certifications from students who are not in good standing. </w:t>
      </w:r>
    </w:p>
    <w:sectPr w:rsidR="00062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97AF9"/>
    <w:multiLevelType w:val="hybridMultilevel"/>
    <w:tmpl w:val="08808EF0"/>
    <w:lvl w:ilvl="0" w:tplc="2A86A8BA">
      <w:numFmt w:val="bullet"/>
      <w:lvlText w:val=""/>
      <w:lvlJc w:val="left"/>
      <w:pPr>
        <w:ind w:left="820" w:hanging="360"/>
      </w:pPr>
      <w:rPr>
        <w:rFonts w:ascii="Symbol" w:eastAsia="Symbol" w:hAnsi="Symbol" w:cs="Symbol" w:hint="default"/>
        <w:w w:val="100"/>
        <w:sz w:val="24"/>
        <w:szCs w:val="24"/>
        <w:lang w:val="pl-PL" w:eastAsia="pl-PL" w:bidi="pl-PL"/>
      </w:rPr>
    </w:lvl>
    <w:lvl w:ilvl="1" w:tplc="5B96EC74">
      <w:numFmt w:val="bullet"/>
      <w:lvlText w:val=""/>
      <w:lvlJc w:val="left"/>
      <w:pPr>
        <w:ind w:left="1540" w:hanging="360"/>
      </w:pPr>
      <w:rPr>
        <w:rFonts w:ascii="Symbol" w:eastAsia="Symbol" w:hAnsi="Symbol" w:cs="Symbol" w:hint="default"/>
        <w:w w:val="100"/>
        <w:sz w:val="24"/>
        <w:szCs w:val="24"/>
        <w:lang w:val="pl-PL" w:eastAsia="pl-PL" w:bidi="pl-PL"/>
      </w:rPr>
    </w:lvl>
    <w:lvl w:ilvl="2" w:tplc="9E5494E4">
      <w:numFmt w:val="bullet"/>
      <w:lvlText w:val="•"/>
      <w:lvlJc w:val="left"/>
      <w:pPr>
        <w:ind w:left="2433" w:hanging="360"/>
      </w:pPr>
      <w:rPr>
        <w:rFonts w:hint="default"/>
        <w:lang w:val="pl-PL" w:eastAsia="pl-PL" w:bidi="pl-PL"/>
      </w:rPr>
    </w:lvl>
    <w:lvl w:ilvl="3" w:tplc="9168E28E">
      <w:numFmt w:val="bullet"/>
      <w:lvlText w:val="•"/>
      <w:lvlJc w:val="left"/>
      <w:pPr>
        <w:ind w:left="3326" w:hanging="360"/>
      </w:pPr>
      <w:rPr>
        <w:rFonts w:hint="default"/>
        <w:lang w:val="pl-PL" w:eastAsia="pl-PL" w:bidi="pl-PL"/>
      </w:rPr>
    </w:lvl>
    <w:lvl w:ilvl="4" w:tplc="DDEE9A54">
      <w:numFmt w:val="bullet"/>
      <w:lvlText w:val="•"/>
      <w:lvlJc w:val="left"/>
      <w:pPr>
        <w:ind w:left="4220" w:hanging="360"/>
      </w:pPr>
      <w:rPr>
        <w:rFonts w:hint="default"/>
        <w:lang w:val="pl-PL" w:eastAsia="pl-PL" w:bidi="pl-PL"/>
      </w:rPr>
    </w:lvl>
    <w:lvl w:ilvl="5" w:tplc="33C6B2C4">
      <w:numFmt w:val="bullet"/>
      <w:lvlText w:val="•"/>
      <w:lvlJc w:val="left"/>
      <w:pPr>
        <w:ind w:left="5113" w:hanging="360"/>
      </w:pPr>
      <w:rPr>
        <w:rFonts w:hint="default"/>
        <w:lang w:val="pl-PL" w:eastAsia="pl-PL" w:bidi="pl-PL"/>
      </w:rPr>
    </w:lvl>
    <w:lvl w:ilvl="6" w:tplc="ACE0A970">
      <w:numFmt w:val="bullet"/>
      <w:lvlText w:val="•"/>
      <w:lvlJc w:val="left"/>
      <w:pPr>
        <w:ind w:left="6006" w:hanging="360"/>
      </w:pPr>
      <w:rPr>
        <w:rFonts w:hint="default"/>
        <w:lang w:val="pl-PL" w:eastAsia="pl-PL" w:bidi="pl-PL"/>
      </w:rPr>
    </w:lvl>
    <w:lvl w:ilvl="7" w:tplc="D5B28D74">
      <w:numFmt w:val="bullet"/>
      <w:lvlText w:val="•"/>
      <w:lvlJc w:val="left"/>
      <w:pPr>
        <w:ind w:left="6900" w:hanging="360"/>
      </w:pPr>
      <w:rPr>
        <w:rFonts w:hint="default"/>
        <w:lang w:val="pl-PL" w:eastAsia="pl-PL" w:bidi="pl-PL"/>
      </w:rPr>
    </w:lvl>
    <w:lvl w:ilvl="8" w:tplc="199E46F0">
      <w:numFmt w:val="bullet"/>
      <w:lvlText w:val="•"/>
      <w:lvlJc w:val="left"/>
      <w:pPr>
        <w:ind w:left="7793" w:hanging="360"/>
      </w:pPr>
      <w:rPr>
        <w:rFonts w:hint="default"/>
        <w:lang w:val="pl-PL" w:eastAsia="pl-PL" w:bidi="pl-PL"/>
      </w:rPr>
    </w:lvl>
  </w:abstractNum>
  <w:num w:numId="1" w16cid:durableId="1156914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EE7"/>
    <w:rsid w:val="00062EE7"/>
    <w:rsid w:val="001F0E60"/>
    <w:rsid w:val="00651938"/>
    <w:rsid w:val="006550D6"/>
    <w:rsid w:val="00A16845"/>
    <w:rsid w:val="00C822CA"/>
    <w:rsid w:val="00CD3404"/>
    <w:rsid w:val="00E32AF5"/>
    <w:rsid w:val="00F45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77CB3"/>
  <w15:chartTrackingRefBased/>
  <w15:docId w15:val="{D413F570-C5E9-45DC-9A62-431472E2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62EE7"/>
    <w:pPr>
      <w:widowControl w:val="0"/>
      <w:autoSpaceDE w:val="0"/>
      <w:autoSpaceDN w:val="0"/>
      <w:spacing w:after="0" w:line="240" w:lineRule="auto"/>
    </w:pPr>
    <w:rPr>
      <w:rFonts w:ascii="Times New Roman" w:eastAsia="Times New Roman" w:hAnsi="Times New Roman" w:cs="Times New Roman"/>
      <w:lang w:val="pl-PL" w:eastAsia="pl-PL" w:bidi="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62EE7"/>
    <w:rPr>
      <w:sz w:val="24"/>
      <w:szCs w:val="24"/>
    </w:rPr>
  </w:style>
  <w:style w:type="character" w:customStyle="1" w:styleId="BodyTextChar">
    <w:name w:val="Body Text Char"/>
    <w:basedOn w:val="DefaultParagraphFont"/>
    <w:link w:val="BodyText"/>
    <w:uiPriority w:val="1"/>
    <w:rsid w:val="00062EE7"/>
    <w:rPr>
      <w:rFonts w:ascii="Times New Roman" w:eastAsia="Times New Roman" w:hAnsi="Times New Roman" w:cs="Times New Roman"/>
      <w:sz w:val="24"/>
      <w:szCs w:val="24"/>
      <w:lang w:val="pl-PL" w:eastAsia="pl-PL" w:bidi="pl-PL"/>
    </w:rPr>
  </w:style>
  <w:style w:type="paragraph" w:styleId="ListParagraph">
    <w:name w:val="List Paragraph"/>
    <w:basedOn w:val="Normal"/>
    <w:uiPriority w:val="1"/>
    <w:qFormat/>
    <w:rsid w:val="00062EE7"/>
    <w:pPr>
      <w:ind w:left="820" w:hanging="360"/>
    </w:pPr>
  </w:style>
  <w:style w:type="paragraph" w:styleId="BalloonText">
    <w:name w:val="Balloon Text"/>
    <w:basedOn w:val="Normal"/>
    <w:link w:val="BalloonTextChar"/>
    <w:uiPriority w:val="99"/>
    <w:semiHidden/>
    <w:unhideWhenUsed/>
    <w:rsid w:val="006519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938"/>
    <w:rPr>
      <w:rFonts w:ascii="Segoe UI" w:eastAsia="Times New Roman" w:hAnsi="Segoe UI" w:cs="Segoe UI"/>
      <w:sz w:val="18"/>
      <w:szCs w:val="18"/>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Sutter</dc:creator>
  <cp:keywords/>
  <dc:description/>
  <cp:lastModifiedBy>Magda Staśkiewicz</cp:lastModifiedBy>
  <cp:revision>2</cp:revision>
  <cp:lastPrinted>2018-04-15T19:49:00Z</cp:lastPrinted>
  <dcterms:created xsi:type="dcterms:W3CDTF">2025-07-13T10:35:00Z</dcterms:created>
  <dcterms:modified xsi:type="dcterms:W3CDTF">2025-07-13T10:35:00Z</dcterms:modified>
</cp:coreProperties>
</file>